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9F145" w14:textId="1A7961A1" w:rsidR="001077AA" w:rsidRDefault="008A767B" w:rsidP="001077AA">
      <w:pPr>
        <w:rPr>
          <w:b/>
          <w:sz w:val="28"/>
        </w:rPr>
      </w:pPr>
      <w:bookmarkStart w:id="0" w:name="_GoBack"/>
      <w:r w:rsidRPr="008A767B">
        <w:rPr>
          <w:b/>
          <w:sz w:val="28"/>
        </w:rPr>
        <w:t>Structural Composition and Functional Components of the Eye</w:t>
      </w:r>
    </w:p>
    <w:bookmarkEnd w:id="0"/>
    <w:p w14:paraId="4D178005" w14:textId="6D09C646" w:rsidR="008A767B" w:rsidRDefault="008A767B" w:rsidP="008A767B">
      <w:r>
        <w:t>For each of the following components of the eye (1-10) involved in the transmission of light</w:t>
      </w:r>
      <w:r>
        <w:t xml:space="preserve"> </w:t>
      </w:r>
      <w:r>
        <w:t>and/or protection of the eye:</w:t>
      </w:r>
    </w:p>
    <w:p w14:paraId="2B0868D3" w14:textId="77777777" w:rsidR="008A767B" w:rsidRDefault="008A767B" w:rsidP="008A767B"/>
    <w:p w14:paraId="67E558C8" w14:textId="2776961B" w:rsidR="008A767B" w:rsidRDefault="008A767B" w:rsidP="008A767B">
      <w:pPr>
        <w:pStyle w:val="ListParagraph"/>
        <w:numPr>
          <w:ilvl w:val="0"/>
          <w:numId w:val="4"/>
        </w:numPr>
      </w:pPr>
      <w:r>
        <w:t>S</w:t>
      </w:r>
      <w:r>
        <w:t>elect the most appropriate structural composition</w:t>
      </w:r>
    </w:p>
    <w:p w14:paraId="648BEB16" w14:textId="77777777" w:rsidR="008A767B" w:rsidRDefault="008A767B" w:rsidP="008A767B">
      <w:pPr>
        <w:pStyle w:val="ListParagraph"/>
        <w:numPr>
          <w:ilvl w:val="0"/>
          <w:numId w:val="5"/>
        </w:numPr>
      </w:pPr>
      <w:r>
        <w:t>Mucous membrane covering anterior surface of eyeball</w:t>
      </w:r>
    </w:p>
    <w:p w14:paraId="66C6A38D" w14:textId="77777777" w:rsidR="008A767B" w:rsidRDefault="008A767B" w:rsidP="008A767B">
      <w:pPr>
        <w:pStyle w:val="ListParagraph"/>
        <w:numPr>
          <w:ilvl w:val="0"/>
          <w:numId w:val="5"/>
        </w:numPr>
      </w:pPr>
      <w:r>
        <w:t>Receptors for dim light</w:t>
      </w:r>
    </w:p>
    <w:p w14:paraId="6D7D3C06" w14:textId="77777777" w:rsidR="008A767B" w:rsidRDefault="008A767B" w:rsidP="008A767B">
      <w:pPr>
        <w:pStyle w:val="ListParagraph"/>
        <w:numPr>
          <w:ilvl w:val="0"/>
          <w:numId w:val="5"/>
        </w:numPr>
      </w:pPr>
      <w:r>
        <w:t>Smooth, sphincter muscle</w:t>
      </w:r>
    </w:p>
    <w:p w14:paraId="7874B048" w14:textId="77777777" w:rsidR="008A767B" w:rsidRDefault="008A767B" w:rsidP="008A767B">
      <w:pPr>
        <w:pStyle w:val="ListParagraph"/>
        <w:numPr>
          <w:ilvl w:val="0"/>
          <w:numId w:val="5"/>
        </w:numPr>
      </w:pPr>
      <w:r>
        <w:t>Transparent anterior part of sclera</w:t>
      </w:r>
    </w:p>
    <w:p w14:paraId="2F9BAEF9" w14:textId="77777777" w:rsidR="008A767B" w:rsidRDefault="008A767B" w:rsidP="008A767B">
      <w:pPr>
        <w:pStyle w:val="ListParagraph"/>
        <w:numPr>
          <w:ilvl w:val="0"/>
          <w:numId w:val="5"/>
        </w:numPr>
      </w:pPr>
      <w:r>
        <w:t>Clear fluid filling anterior cavity</w:t>
      </w:r>
    </w:p>
    <w:p w14:paraId="029440D5" w14:textId="77777777" w:rsidR="008A767B" w:rsidRDefault="008A767B" w:rsidP="008A767B">
      <w:pPr>
        <w:pStyle w:val="ListParagraph"/>
        <w:numPr>
          <w:ilvl w:val="0"/>
          <w:numId w:val="5"/>
        </w:numPr>
      </w:pPr>
      <w:r>
        <w:t>Composed of white, fibrous tissue</w:t>
      </w:r>
    </w:p>
    <w:p w14:paraId="0C87CB9A" w14:textId="77777777" w:rsidR="008A767B" w:rsidRDefault="008A767B" w:rsidP="008A767B">
      <w:pPr>
        <w:pStyle w:val="ListParagraph"/>
        <w:numPr>
          <w:ilvl w:val="0"/>
          <w:numId w:val="5"/>
        </w:numPr>
      </w:pPr>
      <w:r>
        <w:t>Voluntary muscle attached to bony orbit and superior part of eyeball</w:t>
      </w:r>
    </w:p>
    <w:p w14:paraId="509A8A78" w14:textId="77777777" w:rsidR="008A767B" w:rsidRDefault="008A767B" w:rsidP="008A767B">
      <w:pPr>
        <w:pStyle w:val="ListParagraph"/>
        <w:numPr>
          <w:ilvl w:val="0"/>
          <w:numId w:val="5"/>
        </w:numPr>
      </w:pPr>
      <w:r>
        <w:t>Area of retina containing many cones</w:t>
      </w:r>
    </w:p>
    <w:p w14:paraId="53BEFEEA" w14:textId="77777777" w:rsidR="008A767B" w:rsidRDefault="008A767B" w:rsidP="008A767B">
      <w:pPr>
        <w:pStyle w:val="ListParagraph"/>
        <w:numPr>
          <w:ilvl w:val="0"/>
          <w:numId w:val="5"/>
        </w:numPr>
      </w:pPr>
      <w:r>
        <w:t>Smooth muscle at anterior aspect of choroid</w:t>
      </w:r>
    </w:p>
    <w:p w14:paraId="6146460D" w14:textId="1E39DA37" w:rsidR="008A767B" w:rsidRDefault="008A767B" w:rsidP="008A767B">
      <w:pPr>
        <w:pStyle w:val="ListParagraph"/>
        <w:numPr>
          <w:ilvl w:val="0"/>
          <w:numId w:val="5"/>
        </w:numPr>
      </w:pPr>
      <w:r>
        <w:t>Vascular, pigmented layer</w:t>
      </w:r>
    </w:p>
    <w:p w14:paraId="2C753E6F" w14:textId="77777777" w:rsidR="008A767B" w:rsidRDefault="008A767B" w:rsidP="008A767B"/>
    <w:p w14:paraId="1EBF2B50" w14:textId="63DEB776" w:rsidR="008A767B" w:rsidRDefault="008A767B" w:rsidP="008A767B">
      <w:pPr>
        <w:pStyle w:val="ListParagraph"/>
        <w:numPr>
          <w:ilvl w:val="0"/>
          <w:numId w:val="4"/>
        </w:numPr>
      </w:pPr>
      <w:r>
        <w:t>S</w:t>
      </w:r>
      <w:r>
        <w:t>elect the most appropriate function</w:t>
      </w:r>
    </w:p>
    <w:p w14:paraId="26ED6139" w14:textId="77777777" w:rsidR="008A767B" w:rsidRDefault="008A767B" w:rsidP="008A767B">
      <w:pPr>
        <w:pStyle w:val="ListParagraph"/>
        <w:numPr>
          <w:ilvl w:val="0"/>
          <w:numId w:val="7"/>
        </w:numPr>
      </w:pPr>
      <w:r>
        <w:t>Regulates amount of light entering eyeball</w:t>
      </w:r>
    </w:p>
    <w:p w14:paraId="7BB79448" w14:textId="77777777" w:rsidR="008A767B" w:rsidRDefault="008A767B" w:rsidP="008A767B">
      <w:pPr>
        <w:pStyle w:val="ListParagraph"/>
        <w:numPr>
          <w:ilvl w:val="0"/>
          <w:numId w:val="7"/>
        </w:numPr>
      </w:pPr>
      <w:r>
        <w:t>Maintains intraocular pressure</w:t>
      </w:r>
    </w:p>
    <w:p w14:paraId="4CC0806C" w14:textId="77777777" w:rsidR="008A767B" w:rsidRDefault="008A767B" w:rsidP="008A767B">
      <w:pPr>
        <w:pStyle w:val="ListParagraph"/>
        <w:numPr>
          <w:ilvl w:val="0"/>
          <w:numId w:val="7"/>
        </w:numPr>
      </w:pPr>
      <w:r>
        <w:t>Rolls eyeball upward</w:t>
      </w:r>
    </w:p>
    <w:p w14:paraId="100B893A" w14:textId="77777777" w:rsidR="008A767B" w:rsidRDefault="008A767B" w:rsidP="008A767B">
      <w:pPr>
        <w:pStyle w:val="ListParagraph"/>
        <w:numPr>
          <w:ilvl w:val="0"/>
          <w:numId w:val="7"/>
        </w:numPr>
      </w:pPr>
      <w:r>
        <w:t>Changes the shape of the lens</w:t>
      </w:r>
    </w:p>
    <w:p w14:paraId="259C2F51" w14:textId="77777777" w:rsidR="008A767B" w:rsidRDefault="008A767B" w:rsidP="008A767B">
      <w:pPr>
        <w:pStyle w:val="ListParagraph"/>
        <w:numPr>
          <w:ilvl w:val="0"/>
          <w:numId w:val="7"/>
        </w:numPr>
      </w:pPr>
      <w:r>
        <w:t>Provides nutrients to retina and sclera</w:t>
      </w:r>
    </w:p>
    <w:p w14:paraId="73D00792" w14:textId="77777777" w:rsidR="008A767B" w:rsidRDefault="008A767B" w:rsidP="008A767B">
      <w:pPr>
        <w:pStyle w:val="ListParagraph"/>
        <w:numPr>
          <w:ilvl w:val="0"/>
          <w:numId w:val="7"/>
        </w:numPr>
      </w:pPr>
      <w:r>
        <w:t>Keeps cornea moist</w:t>
      </w:r>
    </w:p>
    <w:p w14:paraId="0EBF6161" w14:textId="77777777" w:rsidR="008A767B" w:rsidRDefault="008A767B" w:rsidP="008A767B">
      <w:pPr>
        <w:pStyle w:val="ListParagraph"/>
        <w:numPr>
          <w:ilvl w:val="0"/>
          <w:numId w:val="7"/>
        </w:numPr>
      </w:pPr>
      <w:r>
        <w:t>Provides shape for the eyeball</w:t>
      </w:r>
    </w:p>
    <w:p w14:paraId="5F078B19" w14:textId="77777777" w:rsidR="008A767B" w:rsidRDefault="008A767B" w:rsidP="008A767B">
      <w:pPr>
        <w:pStyle w:val="ListParagraph"/>
        <w:numPr>
          <w:ilvl w:val="0"/>
          <w:numId w:val="7"/>
        </w:numPr>
      </w:pPr>
      <w:r>
        <w:t>Discriminate between different shades of dark and light</w:t>
      </w:r>
    </w:p>
    <w:p w14:paraId="3F701526" w14:textId="77777777" w:rsidR="008A767B" w:rsidRDefault="008A767B" w:rsidP="008A767B">
      <w:pPr>
        <w:pStyle w:val="ListParagraph"/>
        <w:numPr>
          <w:ilvl w:val="0"/>
          <w:numId w:val="7"/>
        </w:numPr>
      </w:pPr>
      <w:proofErr w:type="spellStart"/>
      <w:r>
        <w:t>Lets</w:t>
      </w:r>
      <w:proofErr w:type="spellEnd"/>
      <w:r>
        <w:t xml:space="preserve"> light into eye</w:t>
      </w:r>
    </w:p>
    <w:p w14:paraId="012BE25D" w14:textId="49E82F31" w:rsidR="008A767B" w:rsidRDefault="008A767B" w:rsidP="008A767B">
      <w:pPr>
        <w:pStyle w:val="ListParagraph"/>
        <w:numPr>
          <w:ilvl w:val="0"/>
          <w:numId w:val="7"/>
        </w:numPr>
      </w:pPr>
      <w:r>
        <w:t>Sharpest point of vision on retina</w:t>
      </w:r>
    </w:p>
    <w:p w14:paraId="1D77F678" w14:textId="77777777" w:rsidR="008A767B" w:rsidRDefault="008A767B"/>
    <w:p w14:paraId="428CCB3C" w14:textId="77777777" w:rsidR="008A767B" w:rsidRDefault="008A767B"/>
    <w:p w14:paraId="57BC1923" w14:textId="77777777" w:rsidR="008A767B" w:rsidRDefault="008A767B"/>
    <w:p w14:paraId="07AE9AAB" w14:textId="77777777" w:rsidR="008A767B" w:rsidRDefault="008A767B"/>
    <w:p w14:paraId="7DFFB231" w14:textId="77777777" w:rsidR="008A767B" w:rsidRDefault="008A767B"/>
    <w:p w14:paraId="76606CB2" w14:textId="77777777" w:rsidR="008A767B" w:rsidRDefault="008A767B"/>
    <w:p w14:paraId="10CABACB" w14:textId="77777777" w:rsidR="008A767B" w:rsidRDefault="008A767B" w:rsidP="008A767B">
      <w:pPr>
        <w:rPr>
          <w:b/>
          <w:sz w:val="28"/>
        </w:rPr>
      </w:pPr>
      <w:r w:rsidRPr="008A767B">
        <w:rPr>
          <w:b/>
          <w:sz w:val="28"/>
        </w:rPr>
        <w:lastRenderedPageBreak/>
        <w:t>Structural Composition and Functional Components of the Eye</w:t>
      </w:r>
    </w:p>
    <w:p w14:paraId="3022BEE7" w14:textId="4C6CAC80" w:rsidR="008A767B" w:rsidRDefault="008A767B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685"/>
        <w:gridCol w:w="2065"/>
        <w:gridCol w:w="3785"/>
      </w:tblGrid>
      <w:tr w:rsidR="008A767B" w:rsidRPr="008A767B" w14:paraId="76C59EEC" w14:textId="77777777" w:rsidTr="008A767B">
        <w:tc>
          <w:tcPr>
            <w:tcW w:w="3685" w:type="dxa"/>
            <w:hideMark/>
          </w:tcPr>
          <w:p w14:paraId="3641A575" w14:textId="77777777" w:rsidR="008A767B" w:rsidRPr="008A767B" w:rsidRDefault="008A767B" w:rsidP="008A767B">
            <w:pPr>
              <w:rPr>
                <w:b/>
                <w:sz w:val="24"/>
                <w:szCs w:val="24"/>
              </w:rPr>
            </w:pPr>
            <w:r w:rsidRPr="008A767B">
              <w:rPr>
                <w:b/>
                <w:sz w:val="24"/>
                <w:szCs w:val="24"/>
              </w:rPr>
              <w:t>Component</w:t>
            </w:r>
          </w:p>
        </w:tc>
        <w:tc>
          <w:tcPr>
            <w:tcW w:w="2065" w:type="dxa"/>
            <w:hideMark/>
          </w:tcPr>
          <w:p w14:paraId="0F753ED1" w14:textId="77777777" w:rsidR="008A767B" w:rsidRPr="008A767B" w:rsidRDefault="008A767B" w:rsidP="008A767B">
            <w:pPr>
              <w:rPr>
                <w:b/>
                <w:sz w:val="24"/>
                <w:szCs w:val="24"/>
              </w:rPr>
            </w:pPr>
            <w:r w:rsidRPr="008A767B">
              <w:rPr>
                <w:b/>
                <w:sz w:val="24"/>
                <w:szCs w:val="24"/>
              </w:rPr>
              <w:t>Column I Structural Composition</w:t>
            </w:r>
          </w:p>
        </w:tc>
        <w:tc>
          <w:tcPr>
            <w:tcW w:w="3785" w:type="dxa"/>
            <w:hideMark/>
          </w:tcPr>
          <w:p w14:paraId="1FF78C14" w14:textId="77777777" w:rsidR="008A767B" w:rsidRPr="008A767B" w:rsidRDefault="008A767B" w:rsidP="008A767B">
            <w:pPr>
              <w:rPr>
                <w:b/>
                <w:sz w:val="24"/>
                <w:szCs w:val="24"/>
              </w:rPr>
            </w:pPr>
            <w:r w:rsidRPr="008A767B">
              <w:rPr>
                <w:b/>
                <w:sz w:val="24"/>
                <w:szCs w:val="24"/>
              </w:rPr>
              <w:t>Column II Function</w:t>
            </w:r>
          </w:p>
        </w:tc>
      </w:tr>
      <w:tr w:rsidR="008A767B" w:rsidRPr="008A767B" w14:paraId="0F0ED54D" w14:textId="77777777" w:rsidTr="008A767B">
        <w:tc>
          <w:tcPr>
            <w:tcW w:w="3685" w:type="dxa"/>
            <w:hideMark/>
          </w:tcPr>
          <w:p w14:paraId="166EC4C4" w14:textId="3F843474" w:rsidR="008A767B" w:rsidRPr="008A767B" w:rsidRDefault="008A767B" w:rsidP="008A767B">
            <w:r w:rsidRPr="008A767B">
              <w:t>1. Conjun</w:t>
            </w:r>
            <w:r>
              <w:t>c</w:t>
            </w:r>
            <w:r w:rsidRPr="008A767B">
              <w:t>tiva</w:t>
            </w:r>
          </w:p>
        </w:tc>
        <w:tc>
          <w:tcPr>
            <w:tcW w:w="2065" w:type="dxa"/>
            <w:hideMark/>
          </w:tcPr>
          <w:p w14:paraId="327F3E96" w14:textId="77777777" w:rsidR="008A767B" w:rsidRPr="008A767B" w:rsidRDefault="008A767B" w:rsidP="008A767B">
            <w:r w:rsidRPr="008A767B">
              <w:t> </w:t>
            </w:r>
          </w:p>
        </w:tc>
        <w:tc>
          <w:tcPr>
            <w:tcW w:w="3785" w:type="dxa"/>
            <w:hideMark/>
          </w:tcPr>
          <w:p w14:paraId="5690E0D9" w14:textId="77777777" w:rsidR="008A767B" w:rsidRPr="008A767B" w:rsidRDefault="008A767B" w:rsidP="008A767B">
            <w:r w:rsidRPr="008A767B">
              <w:t> </w:t>
            </w:r>
          </w:p>
        </w:tc>
      </w:tr>
      <w:tr w:rsidR="008A767B" w:rsidRPr="008A767B" w14:paraId="77533E8E" w14:textId="77777777" w:rsidTr="008A767B">
        <w:tc>
          <w:tcPr>
            <w:tcW w:w="3685" w:type="dxa"/>
            <w:hideMark/>
          </w:tcPr>
          <w:p w14:paraId="4719B71A" w14:textId="77777777" w:rsidR="008A767B" w:rsidRPr="008A767B" w:rsidRDefault="008A767B" w:rsidP="008A767B">
            <w:r w:rsidRPr="008A767B">
              <w:t>2. Cornea</w:t>
            </w:r>
          </w:p>
        </w:tc>
        <w:tc>
          <w:tcPr>
            <w:tcW w:w="2065" w:type="dxa"/>
            <w:hideMark/>
          </w:tcPr>
          <w:p w14:paraId="409228E7" w14:textId="77777777" w:rsidR="008A767B" w:rsidRPr="008A767B" w:rsidRDefault="008A767B" w:rsidP="008A767B">
            <w:r w:rsidRPr="008A767B">
              <w:t> </w:t>
            </w:r>
          </w:p>
        </w:tc>
        <w:tc>
          <w:tcPr>
            <w:tcW w:w="3785" w:type="dxa"/>
            <w:hideMark/>
          </w:tcPr>
          <w:p w14:paraId="4237F232" w14:textId="77777777" w:rsidR="008A767B" w:rsidRPr="008A767B" w:rsidRDefault="008A767B" w:rsidP="008A767B">
            <w:r w:rsidRPr="008A767B">
              <w:t> </w:t>
            </w:r>
          </w:p>
        </w:tc>
      </w:tr>
      <w:tr w:rsidR="008A767B" w:rsidRPr="008A767B" w14:paraId="3294E5B1" w14:textId="77777777" w:rsidTr="008A767B">
        <w:tc>
          <w:tcPr>
            <w:tcW w:w="3685" w:type="dxa"/>
            <w:hideMark/>
          </w:tcPr>
          <w:p w14:paraId="4F93B7FC" w14:textId="77777777" w:rsidR="008A767B" w:rsidRPr="008A767B" w:rsidRDefault="008A767B" w:rsidP="008A767B">
            <w:r w:rsidRPr="008A767B">
              <w:t>3. Iris</w:t>
            </w:r>
          </w:p>
        </w:tc>
        <w:tc>
          <w:tcPr>
            <w:tcW w:w="2065" w:type="dxa"/>
            <w:hideMark/>
          </w:tcPr>
          <w:p w14:paraId="710615B0" w14:textId="77777777" w:rsidR="008A767B" w:rsidRPr="008A767B" w:rsidRDefault="008A767B" w:rsidP="008A767B">
            <w:r w:rsidRPr="008A767B">
              <w:t> </w:t>
            </w:r>
          </w:p>
        </w:tc>
        <w:tc>
          <w:tcPr>
            <w:tcW w:w="3785" w:type="dxa"/>
            <w:hideMark/>
          </w:tcPr>
          <w:p w14:paraId="117AE44C" w14:textId="77777777" w:rsidR="008A767B" w:rsidRPr="008A767B" w:rsidRDefault="008A767B" w:rsidP="008A767B">
            <w:r w:rsidRPr="008A767B">
              <w:t> </w:t>
            </w:r>
          </w:p>
        </w:tc>
      </w:tr>
      <w:tr w:rsidR="008A767B" w:rsidRPr="008A767B" w14:paraId="77018317" w14:textId="77777777" w:rsidTr="008A767B">
        <w:tc>
          <w:tcPr>
            <w:tcW w:w="3685" w:type="dxa"/>
            <w:hideMark/>
          </w:tcPr>
          <w:p w14:paraId="153C85FA" w14:textId="77777777" w:rsidR="008A767B" w:rsidRPr="008A767B" w:rsidRDefault="008A767B" w:rsidP="008A767B">
            <w:r w:rsidRPr="008A767B">
              <w:t>4. Sclera</w:t>
            </w:r>
          </w:p>
        </w:tc>
        <w:tc>
          <w:tcPr>
            <w:tcW w:w="2065" w:type="dxa"/>
            <w:hideMark/>
          </w:tcPr>
          <w:p w14:paraId="4DEC9705" w14:textId="77777777" w:rsidR="008A767B" w:rsidRPr="008A767B" w:rsidRDefault="008A767B" w:rsidP="008A767B">
            <w:r w:rsidRPr="008A767B">
              <w:t> </w:t>
            </w:r>
          </w:p>
        </w:tc>
        <w:tc>
          <w:tcPr>
            <w:tcW w:w="3785" w:type="dxa"/>
            <w:hideMark/>
          </w:tcPr>
          <w:p w14:paraId="086A746F" w14:textId="77777777" w:rsidR="008A767B" w:rsidRPr="008A767B" w:rsidRDefault="008A767B" w:rsidP="008A767B">
            <w:r w:rsidRPr="008A767B">
              <w:t> </w:t>
            </w:r>
          </w:p>
        </w:tc>
      </w:tr>
      <w:tr w:rsidR="008A767B" w:rsidRPr="008A767B" w14:paraId="4B1F5F99" w14:textId="77777777" w:rsidTr="008A767B">
        <w:tc>
          <w:tcPr>
            <w:tcW w:w="3685" w:type="dxa"/>
            <w:hideMark/>
          </w:tcPr>
          <w:p w14:paraId="100EEF1D" w14:textId="77777777" w:rsidR="008A767B" w:rsidRPr="008A767B" w:rsidRDefault="008A767B" w:rsidP="008A767B">
            <w:r w:rsidRPr="008A767B">
              <w:t>5. Choroid</w:t>
            </w:r>
          </w:p>
        </w:tc>
        <w:tc>
          <w:tcPr>
            <w:tcW w:w="2065" w:type="dxa"/>
            <w:hideMark/>
          </w:tcPr>
          <w:p w14:paraId="27F7D26D" w14:textId="77777777" w:rsidR="008A767B" w:rsidRPr="008A767B" w:rsidRDefault="008A767B" w:rsidP="008A767B">
            <w:r w:rsidRPr="008A767B">
              <w:t> </w:t>
            </w:r>
          </w:p>
        </w:tc>
        <w:tc>
          <w:tcPr>
            <w:tcW w:w="3785" w:type="dxa"/>
            <w:hideMark/>
          </w:tcPr>
          <w:p w14:paraId="69505D7C" w14:textId="77777777" w:rsidR="008A767B" w:rsidRPr="008A767B" w:rsidRDefault="008A767B" w:rsidP="008A767B">
            <w:r w:rsidRPr="008A767B">
              <w:t> </w:t>
            </w:r>
          </w:p>
        </w:tc>
      </w:tr>
      <w:tr w:rsidR="008A767B" w:rsidRPr="008A767B" w14:paraId="732B2596" w14:textId="77777777" w:rsidTr="008A767B">
        <w:tc>
          <w:tcPr>
            <w:tcW w:w="3685" w:type="dxa"/>
            <w:hideMark/>
          </w:tcPr>
          <w:p w14:paraId="0DA34C99" w14:textId="77777777" w:rsidR="008A767B" w:rsidRPr="008A767B" w:rsidRDefault="008A767B" w:rsidP="008A767B">
            <w:r w:rsidRPr="008A767B">
              <w:t>6. Rods</w:t>
            </w:r>
          </w:p>
        </w:tc>
        <w:tc>
          <w:tcPr>
            <w:tcW w:w="2065" w:type="dxa"/>
            <w:hideMark/>
          </w:tcPr>
          <w:p w14:paraId="4CBE3F28" w14:textId="77777777" w:rsidR="008A767B" w:rsidRPr="008A767B" w:rsidRDefault="008A767B" w:rsidP="008A767B">
            <w:r w:rsidRPr="008A767B">
              <w:t> </w:t>
            </w:r>
          </w:p>
        </w:tc>
        <w:tc>
          <w:tcPr>
            <w:tcW w:w="3785" w:type="dxa"/>
            <w:hideMark/>
          </w:tcPr>
          <w:p w14:paraId="3989B680" w14:textId="77777777" w:rsidR="008A767B" w:rsidRPr="008A767B" w:rsidRDefault="008A767B" w:rsidP="008A767B">
            <w:r w:rsidRPr="008A767B">
              <w:t> </w:t>
            </w:r>
          </w:p>
        </w:tc>
      </w:tr>
      <w:tr w:rsidR="008A767B" w:rsidRPr="008A767B" w14:paraId="5F133309" w14:textId="77777777" w:rsidTr="008A767B">
        <w:tc>
          <w:tcPr>
            <w:tcW w:w="3685" w:type="dxa"/>
            <w:hideMark/>
          </w:tcPr>
          <w:p w14:paraId="594DEA92" w14:textId="77777777" w:rsidR="008A767B" w:rsidRPr="008A767B" w:rsidRDefault="008A767B" w:rsidP="008A767B">
            <w:r w:rsidRPr="008A767B">
              <w:t>7. Fovea centralis</w:t>
            </w:r>
          </w:p>
        </w:tc>
        <w:tc>
          <w:tcPr>
            <w:tcW w:w="2065" w:type="dxa"/>
            <w:hideMark/>
          </w:tcPr>
          <w:p w14:paraId="1D2CBF47" w14:textId="77777777" w:rsidR="008A767B" w:rsidRPr="008A767B" w:rsidRDefault="008A767B" w:rsidP="008A767B">
            <w:r w:rsidRPr="008A767B">
              <w:t> </w:t>
            </w:r>
          </w:p>
        </w:tc>
        <w:tc>
          <w:tcPr>
            <w:tcW w:w="3785" w:type="dxa"/>
            <w:hideMark/>
          </w:tcPr>
          <w:p w14:paraId="58B2D145" w14:textId="77777777" w:rsidR="008A767B" w:rsidRPr="008A767B" w:rsidRDefault="008A767B" w:rsidP="008A767B">
            <w:r w:rsidRPr="008A767B">
              <w:t> </w:t>
            </w:r>
          </w:p>
        </w:tc>
      </w:tr>
      <w:tr w:rsidR="008A767B" w:rsidRPr="008A767B" w14:paraId="2E282F08" w14:textId="77777777" w:rsidTr="008A767B">
        <w:tc>
          <w:tcPr>
            <w:tcW w:w="3685" w:type="dxa"/>
            <w:hideMark/>
          </w:tcPr>
          <w:p w14:paraId="7E99BA7B" w14:textId="77777777" w:rsidR="008A767B" w:rsidRPr="008A767B" w:rsidRDefault="008A767B" w:rsidP="008A767B">
            <w:r w:rsidRPr="008A767B">
              <w:t xml:space="preserve">8. Aqueous </w:t>
            </w:r>
            <w:proofErr w:type="spellStart"/>
            <w:r w:rsidRPr="008A767B">
              <w:t>humour</w:t>
            </w:r>
            <w:proofErr w:type="spellEnd"/>
          </w:p>
        </w:tc>
        <w:tc>
          <w:tcPr>
            <w:tcW w:w="2065" w:type="dxa"/>
            <w:hideMark/>
          </w:tcPr>
          <w:p w14:paraId="6A93F532" w14:textId="77777777" w:rsidR="008A767B" w:rsidRPr="008A767B" w:rsidRDefault="008A767B" w:rsidP="008A767B">
            <w:r w:rsidRPr="008A767B">
              <w:t> </w:t>
            </w:r>
          </w:p>
        </w:tc>
        <w:tc>
          <w:tcPr>
            <w:tcW w:w="3785" w:type="dxa"/>
            <w:hideMark/>
          </w:tcPr>
          <w:p w14:paraId="49326A63" w14:textId="77777777" w:rsidR="008A767B" w:rsidRPr="008A767B" w:rsidRDefault="008A767B" w:rsidP="008A767B">
            <w:r w:rsidRPr="008A767B">
              <w:t> </w:t>
            </w:r>
          </w:p>
        </w:tc>
      </w:tr>
      <w:tr w:rsidR="008A767B" w:rsidRPr="008A767B" w14:paraId="76AFB94C" w14:textId="77777777" w:rsidTr="008A767B">
        <w:tc>
          <w:tcPr>
            <w:tcW w:w="3685" w:type="dxa"/>
            <w:hideMark/>
          </w:tcPr>
          <w:p w14:paraId="56A1224B" w14:textId="77777777" w:rsidR="008A767B" w:rsidRPr="008A767B" w:rsidRDefault="008A767B" w:rsidP="008A767B">
            <w:r w:rsidRPr="008A767B">
              <w:t>9. Ciliary muscle</w:t>
            </w:r>
          </w:p>
        </w:tc>
        <w:tc>
          <w:tcPr>
            <w:tcW w:w="2065" w:type="dxa"/>
            <w:hideMark/>
          </w:tcPr>
          <w:p w14:paraId="7EAD6FA8" w14:textId="77777777" w:rsidR="008A767B" w:rsidRPr="008A767B" w:rsidRDefault="008A767B" w:rsidP="008A767B">
            <w:r w:rsidRPr="008A767B">
              <w:t> </w:t>
            </w:r>
          </w:p>
        </w:tc>
        <w:tc>
          <w:tcPr>
            <w:tcW w:w="3785" w:type="dxa"/>
            <w:hideMark/>
          </w:tcPr>
          <w:p w14:paraId="5EA18D1F" w14:textId="77777777" w:rsidR="008A767B" w:rsidRPr="008A767B" w:rsidRDefault="008A767B" w:rsidP="008A767B">
            <w:r w:rsidRPr="008A767B">
              <w:t> </w:t>
            </w:r>
          </w:p>
        </w:tc>
      </w:tr>
      <w:tr w:rsidR="008A767B" w:rsidRPr="008A767B" w14:paraId="7FB65B9C" w14:textId="77777777" w:rsidTr="008A767B">
        <w:tc>
          <w:tcPr>
            <w:tcW w:w="3685" w:type="dxa"/>
            <w:hideMark/>
          </w:tcPr>
          <w:p w14:paraId="4E648D0C" w14:textId="77777777" w:rsidR="008A767B" w:rsidRPr="008A767B" w:rsidRDefault="008A767B" w:rsidP="008A767B">
            <w:r w:rsidRPr="008A767B">
              <w:t>10. Superior rectus muscle</w:t>
            </w:r>
          </w:p>
        </w:tc>
        <w:tc>
          <w:tcPr>
            <w:tcW w:w="2065" w:type="dxa"/>
            <w:hideMark/>
          </w:tcPr>
          <w:p w14:paraId="0283E9B1" w14:textId="77777777" w:rsidR="008A767B" w:rsidRPr="008A767B" w:rsidRDefault="008A767B" w:rsidP="008A767B">
            <w:r w:rsidRPr="008A767B">
              <w:t> </w:t>
            </w:r>
          </w:p>
        </w:tc>
        <w:tc>
          <w:tcPr>
            <w:tcW w:w="3785" w:type="dxa"/>
            <w:hideMark/>
          </w:tcPr>
          <w:p w14:paraId="19A8E719" w14:textId="77777777" w:rsidR="008A767B" w:rsidRPr="008A767B" w:rsidRDefault="008A767B" w:rsidP="008A767B">
            <w:r w:rsidRPr="008A767B">
              <w:t> </w:t>
            </w:r>
          </w:p>
        </w:tc>
      </w:tr>
    </w:tbl>
    <w:p w14:paraId="0B82065F" w14:textId="77777777" w:rsidR="008A767B" w:rsidRPr="001077AA" w:rsidRDefault="008A767B" w:rsidP="001077AA"/>
    <w:sectPr w:rsidR="008A767B" w:rsidRPr="001077AA" w:rsidSect="001077AA">
      <w:type w:val="continuous"/>
      <w:pgSz w:w="12240" w:h="15840" w:code="1"/>
      <w:pgMar w:top="1440" w:right="1440" w:bottom="1440" w:left="1440" w:header="18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46147" w14:textId="77777777" w:rsidR="0061017D" w:rsidRDefault="0061017D">
      <w:pPr>
        <w:spacing w:after="0" w:line="240" w:lineRule="auto"/>
      </w:pPr>
      <w:r>
        <w:separator/>
      </w:r>
    </w:p>
  </w:endnote>
  <w:endnote w:type="continuationSeparator" w:id="0">
    <w:p w14:paraId="2904BCE2" w14:textId="77777777" w:rsidR="0061017D" w:rsidRDefault="0061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ivvic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19321" w14:textId="77777777" w:rsidR="0061017D" w:rsidRDefault="0061017D">
      <w:pPr>
        <w:spacing w:after="0" w:line="240" w:lineRule="auto"/>
      </w:pPr>
      <w:r>
        <w:separator/>
      </w:r>
    </w:p>
  </w:footnote>
  <w:footnote w:type="continuationSeparator" w:id="0">
    <w:p w14:paraId="30761FF2" w14:textId="77777777" w:rsidR="0061017D" w:rsidRDefault="0061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32F88"/>
    <w:multiLevelType w:val="hybridMultilevel"/>
    <w:tmpl w:val="76E2565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247BC"/>
    <w:multiLevelType w:val="hybridMultilevel"/>
    <w:tmpl w:val="868C1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34980"/>
    <w:multiLevelType w:val="hybridMultilevel"/>
    <w:tmpl w:val="2BAE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042E4"/>
    <w:multiLevelType w:val="hybridMultilevel"/>
    <w:tmpl w:val="C05ADF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9F6725"/>
    <w:multiLevelType w:val="hybridMultilevel"/>
    <w:tmpl w:val="679C43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073C1"/>
    <w:multiLevelType w:val="hybridMultilevel"/>
    <w:tmpl w:val="01428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D2923"/>
    <w:multiLevelType w:val="hybridMultilevel"/>
    <w:tmpl w:val="B22276D2"/>
    <w:lvl w:ilvl="0" w:tplc="B9601E8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51"/>
    <w:rsid w:val="001077AA"/>
    <w:rsid w:val="00381DD8"/>
    <w:rsid w:val="004F2E51"/>
    <w:rsid w:val="0061017D"/>
    <w:rsid w:val="008A767B"/>
    <w:rsid w:val="00C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BB663A"/>
  <w15:docId w15:val="{966F3310-3BA4-4B8E-9F7E-CBC96C2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7AA"/>
  </w:style>
  <w:style w:type="paragraph" w:styleId="Heading1">
    <w:name w:val="heading 1"/>
    <w:basedOn w:val="Title"/>
    <w:link w:val="Heading1Char"/>
    <w:uiPriority w:val="9"/>
    <w:qFormat/>
    <w:rsid w:val="001077AA"/>
    <w:pPr>
      <w:spacing w:before="60" w:after="120" w:line="276" w:lineRule="auto"/>
    </w:pPr>
    <w:rPr>
      <w:b w:val="0"/>
      <w:color w:val="002060" w:themeColor="accent4"/>
      <w:sz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1077AA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7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2060" w:themeColor="accent4"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077AA"/>
    <w:pPr>
      <w:outlineLvl w:val="3"/>
    </w:pPr>
    <w:rPr>
      <w:b w:val="0"/>
      <w:iCs/>
      <w:color w:val="0F0E23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077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0E23" w:themeColor="accent1" w:themeShade="BF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077AA"/>
    <w:pPr>
      <w:outlineLvl w:val="5"/>
    </w:pPr>
    <w:rPr>
      <w:color w:val="09091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07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A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7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A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0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7AA"/>
    <w:rPr>
      <w:rFonts w:asciiTheme="majorHAnsi" w:eastAsiaTheme="majorEastAsia" w:hAnsiTheme="majorHAnsi" w:cstheme="majorBidi"/>
      <w:b/>
      <w:color w:val="002060" w:themeColor="accent4"/>
      <w:spacing w:val="-10"/>
      <w:kern w:val="28"/>
      <w:sz w:val="3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077AA"/>
    <w:pPr>
      <w:spacing w:before="120" w:after="48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7AA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7AA"/>
    <w:rPr>
      <w:rFonts w:asciiTheme="majorHAnsi" w:eastAsiaTheme="majorEastAsia" w:hAnsiTheme="majorHAnsi" w:cstheme="majorBidi"/>
      <w:color w:val="002060" w:themeColor="accent4"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7AA"/>
    <w:rPr>
      <w:rFonts w:asciiTheme="majorHAnsi" w:eastAsiaTheme="majorEastAsia" w:hAnsiTheme="majorHAnsi" w:cstheme="majorBidi"/>
      <w:b/>
      <w:color w:val="002060" w:themeColor="accent4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7AA"/>
    <w:rPr>
      <w:rFonts w:asciiTheme="majorHAnsi" w:eastAsiaTheme="majorEastAsia" w:hAnsiTheme="majorHAnsi" w:cstheme="majorBidi"/>
      <w:iCs/>
      <w:color w:val="0F0E23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7AA"/>
    <w:rPr>
      <w:rFonts w:asciiTheme="majorHAnsi" w:eastAsiaTheme="majorEastAsia" w:hAnsiTheme="majorHAnsi" w:cstheme="majorBidi"/>
      <w:color w:val="090917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7AA"/>
    <w:rPr>
      <w:rFonts w:asciiTheme="majorHAnsi" w:eastAsiaTheme="majorEastAsia" w:hAnsiTheme="majorHAnsi" w:cstheme="majorBidi"/>
      <w:color w:val="0F0E23" w:themeColor="accent1" w:themeShade="BF"/>
    </w:rPr>
  </w:style>
  <w:style w:type="character" w:styleId="Strong">
    <w:name w:val="Strong"/>
    <w:basedOn w:val="DefaultParagraphFont"/>
    <w:uiPriority w:val="22"/>
    <w:qFormat/>
    <w:rsid w:val="001077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pen Wordpress">
  <a:themeElements>
    <a:clrScheme name="Open Wordpress">
      <a:dk1>
        <a:srgbClr val="030113"/>
      </a:dk1>
      <a:lt1>
        <a:sysClr val="window" lastClr="FFFFFF"/>
      </a:lt1>
      <a:dk2>
        <a:srgbClr val="14132F"/>
      </a:dk2>
      <a:lt2>
        <a:srgbClr val="F6F4F5"/>
      </a:lt2>
      <a:accent1>
        <a:srgbClr val="14132F"/>
      </a:accent1>
      <a:accent2>
        <a:srgbClr val="C4E7EE"/>
      </a:accent2>
      <a:accent3>
        <a:srgbClr val="06444D"/>
      </a:accent3>
      <a:accent4>
        <a:srgbClr val="002060"/>
      </a:accent4>
      <a:accent5>
        <a:srgbClr val="3094A8"/>
      </a:accent5>
      <a:accent6>
        <a:srgbClr val="38D8EF"/>
      </a:accent6>
      <a:hlink>
        <a:srgbClr val="3094A8"/>
      </a:hlink>
      <a:folHlink>
        <a:srgbClr val="9EB5BF"/>
      </a:folHlink>
    </a:clrScheme>
    <a:fontScheme name="Open Wordpress">
      <a:majorFont>
        <a:latin typeface="Livvic"/>
        <a:ea typeface=""/>
        <a:cs typeface=""/>
      </a:majorFont>
      <a:minorFont>
        <a:latin typeface="Open Sans"/>
        <a:ea typeface=""/>
        <a:cs typeface="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pen Wordpress" id="{31DADA6C-AB95-4657-9ED7-ACB0C942E368}" vid="{519D01A6-7294-4239-9AED-7F272DFCC28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8" ma:contentTypeDescription="Create a new document." ma:contentTypeScope="" ma:versionID="10c37aeb2a905da1e2c5464ff1e025cf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13aa1f8f2e5e2adca245bbb666d402b6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2571C-69C0-40C5-AD90-CA203409F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B7738-7F22-4B1B-9B05-F83261BB5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d623-ea5c-4022-899d-a23dfb3f65f9"/>
    <ds:schemaRef ds:uri="c96ca14f-e1db-4e99-8255-9ce3eddb8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Grey</dc:creator>
  <cp:lastModifiedBy>Amanda Grey</cp:lastModifiedBy>
  <cp:revision>2</cp:revision>
  <dcterms:created xsi:type="dcterms:W3CDTF">2024-08-07T22:02:00Z</dcterms:created>
  <dcterms:modified xsi:type="dcterms:W3CDTF">2024-08-07T22:02:00Z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2024-07-04T00:00:00Z</vt:filetime>
  </property>
  <property fmtid="{D5CDD505-2E9C-101B-9397-08002B2CF9AE}" pid="5" name="Producer">
    <vt:lpwstr>Adobe Acrobat 24.2 Image Conversion Plug-in</vt:lpwstr>
  </property>
</Properties>
</file>